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2E2E" w14:textId="2D1F5F13" w:rsidR="00FB2BD9" w:rsidRDefault="00FB2BD9" w:rsidP="00DE589F">
      <w:pPr>
        <w:rPr>
          <w:b/>
          <w:bCs/>
        </w:rPr>
      </w:pPr>
      <w:r>
        <w:rPr>
          <w:b/>
          <w:bCs/>
        </w:rPr>
        <w:t>Linda Weber</w:t>
      </w:r>
      <w:r w:rsidR="001D7989">
        <w:rPr>
          <w:b/>
          <w:bCs/>
        </w:rPr>
        <w:t xml:space="preserve"> (Alumni)</w:t>
      </w:r>
    </w:p>
    <w:p w14:paraId="1764EF57" w14:textId="1DB2B1C8" w:rsidR="00D64CDD" w:rsidRPr="00D64CDD" w:rsidRDefault="00D64CDD" w:rsidP="00DE589F">
      <w:pPr>
        <w:rPr>
          <w:b/>
          <w:bCs/>
        </w:rPr>
      </w:pPr>
      <w:r w:rsidRPr="00D64CDD">
        <w:rPr>
          <w:b/>
          <w:bCs/>
        </w:rPr>
        <w:t>Abstract</w:t>
      </w:r>
    </w:p>
    <w:p w14:paraId="65DC5DA9" w14:textId="460A16E1" w:rsidR="00DE589F" w:rsidRDefault="00902997" w:rsidP="00DE589F">
      <w:r>
        <w:t>Growing</w:t>
      </w:r>
      <w:r w:rsidR="00DE589F">
        <w:t xml:space="preserve"> stakeholder pressures,</w:t>
      </w:r>
      <w:r>
        <w:t xml:space="preserve"> intensified</w:t>
      </w:r>
      <w:r w:rsidR="00DE589F">
        <w:t xml:space="preserve"> climate change concerns and </w:t>
      </w:r>
      <w:r w:rsidR="0046460A">
        <w:t>demand</w:t>
      </w:r>
      <w:r w:rsidR="00DE589F">
        <w:t xml:space="preserve"> for equitable progress are accelerating the </w:t>
      </w:r>
      <w:r w:rsidR="008D3A9F">
        <w:t xml:space="preserve">global necessity </w:t>
      </w:r>
      <w:r w:rsidR="00DE589F">
        <w:t>for sustainable solutions.</w:t>
      </w:r>
      <w:r w:rsidR="006A3B9B">
        <w:t xml:space="preserve"> </w:t>
      </w:r>
      <w:r w:rsidR="00DE589F">
        <w:t xml:space="preserve"> Therefore,</w:t>
      </w:r>
      <w:r w:rsidR="006A3B9B">
        <w:t xml:space="preserve"> </w:t>
      </w:r>
      <w:r w:rsidR="00DE589F">
        <w:t xml:space="preserve">sustainability </w:t>
      </w:r>
      <w:r w:rsidR="001F51DC">
        <w:t>must be</w:t>
      </w:r>
      <w:r w:rsidR="00DE589F">
        <w:t xml:space="preserve"> core </w:t>
      </w:r>
      <w:r w:rsidR="001F51DC">
        <w:t xml:space="preserve">to </w:t>
      </w:r>
      <w:r w:rsidR="00B04052">
        <w:t>a company’s</w:t>
      </w:r>
      <w:r w:rsidR="00DE589F">
        <w:t xml:space="preserve"> business strategy in order</w:t>
      </w:r>
      <w:r w:rsidR="006A3B9B">
        <w:t xml:space="preserve"> to</w:t>
      </w:r>
      <w:r w:rsidR="00DE589F">
        <w:t xml:space="preserve"> remain </w:t>
      </w:r>
      <w:r w:rsidR="00D46FDB">
        <w:t>successful</w:t>
      </w:r>
      <w:r w:rsidR="00DE589F">
        <w:t xml:space="preserve"> in</w:t>
      </w:r>
      <w:r w:rsidR="00B04052">
        <w:t xml:space="preserve"> domestic and</w:t>
      </w:r>
      <w:r w:rsidR="00DE589F">
        <w:t xml:space="preserve"> global market</w:t>
      </w:r>
      <w:r w:rsidR="00B04052">
        <w:t>s</w:t>
      </w:r>
      <w:r w:rsidR="00DE589F">
        <w:t>.</w:t>
      </w:r>
    </w:p>
    <w:p w14:paraId="5286B36B" w14:textId="03B6A481" w:rsidR="00E44CD3" w:rsidRDefault="00DE589F" w:rsidP="00DE589F">
      <w:r>
        <w:t>Sustainability is a moral and business imperative, and a</w:t>
      </w:r>
      <w:r w:rsidR="00896BAD">
        <w:t xml:space="preserve">n </w:t>
      </w:r>
      <w:r w:rsidR="002557C2">
        <w:t>organizational</w:t>
      </w:r>
      <w:r>
        <w:t xml:space="preserve"> leadership vision that is </w:t>
      </w:r>
      <w:r w:rsidR="00902997">
        <w:t>committed to</w:t>
      </w:r>
      <w:r>
        <w:t xml:space="preserve"> transform</w:t>
      </w:r>
      <w:r w:rsidR="00902997">
        <w:t>ing</w:t>
      </w:r>
      <w:r>
        <w:t xml:space="preserve"> the world for the better, protecting our planet’s future, and making the company a force for good. </w:t>
      </w:r>
      <w:r w:rsidR="00802452">
        <w:t xml:space="preserve">It’s crucial that </w:t>
      </w:r>
      <w:r w:rsidR="00CB2851">
        <w:t>people</w:t>
      </w:r>
      <w:r w:rsidR="00802452">
        <w:t xml:space="preserve"> </w:t>
      </w:r>
      <w:r w:rsidR="002557C2">
        <w:t>at all levels of</w:t>
      </w:r>
      <w:r w:rsidR="00802452">
        <w:t xml:space="preserve"> the </w:t>
      </w:r>
      <w:r w:rsidR="002557C2">
        <w:t xml:space="preserve">organization </w:t>
      </w:r>
      <w:r w:rsidR="00802452">
        <w:t xml:space="preserve">understand how they contribute to Environmental, Social, and Governance (ESG) </w:t>
      </w:r>
      <w:r w:rsidR="00CB2851">
        <w:t>initiatives</w:t>
      </w:r>
      <w:r w:rsidR="00802452">
        <w:t xml:space="preserve"> at work.  Employee buy-in is necessary to make ESG initiatives </w:t>
      </w:r>
      <w:r w:rsidR="00CB2851">
        <w:t>effective</w:t>
      </w:r>
      <w:r w:rsidR="00802452">
        <w:t xml:space="preserve">, and strong ESG efforts can yield more engaged, satisfied employees.  The intersection of ESG and employee satisfaction yields the greatest benefit </w:t>
      </w:r>
      <w:r w:rsidR="00721989">
        <w:t>to the company.</w:t>
      </w:r>
    </w:p>
    <w:p w14:paraId="792E16B6" w14:textId="23B267E6" w:rsidR="00B04052" w:rsidRDefault="0062481C" w:rsidP="00B04052">
      <w:r>
        <w:t>Jabil has taken bold steps toward developing and effectively executing a comprehensive global sustainability strategy.  The refreshed journey began in early 2021 when a formal sustainability stakeholder engagement to research which</w:t>
      </w:r>
      <w:r w:rsidR="00D64CDD">
        <w:t xml:space="preserve"> Environmental, Social and Governance</w:t>
      </w:r>
      <w:r>
        <w:t xml:space="preserve"> </w:t>
      </w:r>
      <w:r w:rsidR="00D64CDD">
        <w:t>(</w:t>
      </w:r>
      <w:r>
        <w:t>ESG</w:t>
      </w:r>
      <w:r w:rsidR="00D64CDD">
        <w:t>)</w:t>
      </w:r>
      <w:r>
        <w:t xml:space="preserve"> issues were most material for the company</w:t>
      </w:r>
      <w:r w:rsidR="00D64CDD">
        <w:t xml:space="preserve">.  </w:t>
      </w:r>
      <w:r>
        <w:t xml:space="preserve"> </w:t>
      </w:r>
      <w:r w:rsidR="00D64CDD">
        <w:t>T</w:t>
      </w:r>
      <w:r>
        <w:t xml:space="preserve">he outcomes were used to inform the company’s 5-year sustainability strategy which includes goals for climate action; employee </w:t>
      </w:r>
      <w:r w:rsidR="00B04052">
        <w:t>mental health resiliency and overall</w:t>
      </w:r>
      <w:r>
        <w:t xml:space="preserve"> wellbeing; diversity, equity and inclusion (DEI); community volunteerism, human rights, cybersecurity, environment, health &amp; safety (EHS); circular economy and resource efficiency</w:t>
      </w:r>
      <w:r w:rsidR="0082266B">
        <w:t xml:space="preserve">; all of which have alignment to the </w:t>
      </w:r>
      <w:r w:rsidR="008214E2">
        <w:t>United Nations 17 Sustainable Development Goals (</w:t>
      </w:r>
      <w:r w:rsidR="0082266B">
        <w:t>SDGs</w:t>
      </w:r>
      <w:r w:rsidR="008214E2">
        <w:t>)</w:t>
      </w:r>
      <w:r>
        <w:t>.</w:t>
      </w:r>
      <w:r w:rsidR="00B04052">
        <w:t xml:space="preserve"> Business intelligence tools were developed that allow internal business partners to track, analyze and report on sustainability KPIs and metrics to ensure progress toward goal achievement. An Enterprise Sustainability Council consisting of cross-functional leadership was established to help ensure the integration of business and sustainability priorities across the company and orient the organization towards the practice of considering the social and environmental aspects of the company and creating sustained business success. </w:t>
      </w:r>
    </w:p>
    <w:p w14:paraId="5B9E13DA" w14:textId="5AA4383B" w:rsidR="00D64CDD" w:rsidRDefault="00D64CDD" w:rsidP="00B04052">
      <w:pPr>
        <w:rPr>
          <w:b/>
          <w:bCs/>
        </w:rPr>
      </w:pPr>
      <w:r w:rsidRPr="00D64CDD">
        <w:rPr>
          <w:b/>
          <w:bCs/>
        </w:rPr>
        <w:t>Speaker Bio</w:t>
      </w:r>
    </w:p>
    <w:p w14:paraId="5C549EA9" w14:textId="3D43E607" w:rsidR="00935AAB" w:rsidRPr="00AF5DDE" w:rsidRDefault="00AD09D1" w:rsidP="00935AAB">
      <w:pPr>
        <w:rPr>
          <w:rFonts w:cstheme="minorHAnsi"/>
        </w:rPr>
      </w:pPr>
      <w:r w:rsidRPr="00395383">
        <w:rPr>
          <w:noProof/>
          <w:sz w:val="20"/>
          <w:szCs w:val="20"/>
        </w:rPr>
        <w:drawing>
          <wp:anchor distT="0" distB="0" distL="114300" distR="114300" simplePos="0" relativeHeight="251659264" behindDoc="1" locked="0" layoutInCell="1" allowOverlap="1" wp14:anchorId="065CA136" wp14:editId="2CD502AE">
            <wp:simplePos x="0" y="0"/>
            <wp:positionH relativeFrom="column">
              <wp:posOffset>0</wp:posOffset>
            </wp:positionH>
            <wp:positionV relativeFrom="paragraph">
              <wp:posOffset>73025</wp:posOffset>
            </wp:positionV>
            <wp:extent cx="1816100" cy="2270125"/>
            <wp:effectExtent l="0" t="0" r="0" b="0"/>
            <wp:wrapTight wrapText="bothSides">
              <wp:wrapPolygon edited="0">
                <wp:start x="0" y="0"/>
                <wp:lineTo x="0" y="21389"/>
                <wp:lineTo x="21298" y="21389"/>
                <wp:lineTo x="21298" y="0"/>
                <wp:lineTo x="0" y="0"/>
              </wp:wrapPolygon>
            </wp:wrapTight>
            <wp:docPr id="3" name="Picture 3"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ith long hair&#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6100" cy="2270125"/>
                    </a:xfrm>
                    <a:prstGeom prst="rect">
                      <a:avLst/>
                    </a:prstGeom>
                  </pic:spPr>
                </pic:pic>
              </a:graphicData>
            </a:graphic>
            <wp14:sizeRelH relativeFrom="page">
              <wp14:pctWidth>0</wp14:pctWidth>
            </wp14:sizeRelH>
            <wp14:sizeRelV relativeFrom="page">
              <wp14:pctHeight>0</wp14:pctHeight>
            </wp14:sizeRelV>
          </wp:anchor>
        </w:drawing>
      </w:r>
      <w:r w:rsidR="00D64CDD">
        <w:t>Ms. Linda Weber</w:t>
      </w:r>
      <w:r w:rsidR="00BC2052">
        <w:t>, MPH,</w:t>
      </w:r>
      <w:r w:rsidR="00D64CDD">
        <w:t xml:space="preserve"> is </w:t>
      </w:r>
      <w:r w:rsidR="0034383A">
        <w:t xml:space="preserve">the Global Sustainability Engagement Manager at Jabil </w:t>
      </w:r>
      <w:r w:rsidR="00935AAB" w:rsidRPr="00AF5DDE">
        <w:rPr>
          <w:rFonts w:cstheme="minorHAnsi"/>
          <w:noProof/>
        </w:rPr>
        <w:t>– a technologically advanced and trusted manufacturing solutions provider with over 260,000 diverse, talented and dedicated employees across 100 locations in 30 countries.</w:t>
      </w:r>
    </w:p>
    <w:p w14:paraId="690E084C" w14:textId="15404B92" w:rsidR="00D64CDD" w:rsidRPr="00AF5DDE" w:rsidRDefault="00670A02" w:rsidP="00B04052">
      <w:pPr>
        <w:rPr>
          <w:rFonts w:cstheme="minorHAnsi"/>
        </w:rPr>
      </w:pPr>
      <w:r>
        <w:t xml:space="preserve">She </w:t>
      </w:r>
      <w:r w:rsidR="0034383A">
        <w:t>provid</w:t>
      </w:r>
      <w:r>
        <w:t>es</w:t>
      </w:r>
      <w:r w:rsidR="0034383A">
        <w:t xml:space="preserve"> </w:t>
      </w:r>
      <w:r w:rsidR="008F5CC5">
        <w:t>leadership</w:t>
      </w:r>
      <w:r w:rsidR="0034383A">
        <w:t xml:space="preserve"> and support for its sustainability strategy, the certified global environmental management system, ESG and sustainability reporting disclosures, and various sustainability initiatives.</w:t>
      </w:r>
      <w:r w:rsidR="00BC2052">
        <w:t xml:space="preserve"> Ms. Weber had a key role in working with a range of stakeholders to determine which ESG issues were most material for the </w:t>
      </w:r>
      <w:r>
        <w:t>company</w:t>
      </w:r>
      <w:r w:rsidR="00007F1D">
        <w:t>,</w:t>
      </w:r>
      <w:r w:rsidR="00BC2052">
        <w:t xml:space="preserve"> using the</w:t>
      </w:r>
      <w:r w:rsidR="00254B65">
        <w:t xml:space="preserve"> outcomes</w:t>
      </w:r>
      <w:r w:rsidR="00BC2052">
        <w:t xml:space="preserve"> to inform its 5-year goals</w:t>
      </w:r>
      <w:r w:rsidR="00007F1D">
        <w:t xml:space="preserve">, and develop mechanisms for </w:t>
      </w:r>
      <w:r w:rsidR="00E44DB5">
        <w:t>monitoring their achievement to provide for an enhanced overall sustainability performance for the company, and ultimately for the planet.</w:t>
      </w:r>
    </w:p>
    <w:p w14:paraId="0A31D54A" w14:textId="782A40DF" w:rsidR="0062481C" w:rsidRDefault="0062481C" w:rsidP="00DE589F"/>
    <w:sectPr w:rsidR="00624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9F"/>
    <w:rsid w:val="00007F1D"/>
    <w:rsid w:val="00025C4A"/>
    <w:rsid w:val="00097D98"/>
    <w:rsid w:val="001D7989"/>
    <w:rsid w:val="001F51DC"/>
    <w:rsid w:val="00202936"/>
    <w:rsid w:val="00254B65"/>
    <w:rsid w:val="002557C2"/>
    <w:rsid w:val="002B638F"/>
    <w:rsid w:val="0034383A"/>
    <w:rsid w:val="003B1225"/>
    <w:rsid w:val="0046460A"/>
    <w:rsid w:val="00546E64"/>
    <w:rsid w:val="005A04CB"/>
    <w:rsid w:val="005B6FE5"/>
    <w:rsid w:val="0062481C"/>
    <w:rsid w:val="00670A02"/>
    <w:rsid w:val="006A3B9B"/>
    <w:rsid w:val="00721989"/>
    <w:rsid w:val="0076489E"/>
    <w:rsid w:val="00802452"/>
    <w:rsid w:val="008214E2"/>
    <w:rsid w:val="0082266B"/>
    <w:rsid w:val="00896BAD"/>
    <w:rsid w:val="008D1524"/>
    <w:rsid w:val="008D3A9F"/>
    <w:rsid w:val="008F5CC5"/>
    <w:rsid w:val="00902997"/>
    <w:rsid w:val="00935AAB"/>
    <w:rsid w:val="009C2249"/>
    <w:rsid w:val="009D17D6"/>
    <w:rsid w:val="00A343E5"/>
    <w:rsid w:val="00AD09D1"/>
    <w:rsid w:val="00AF5DDE"/>
    <w:rsid w:val="00B04052"/>
    <w:rsid w:val="00B10CC9"/>
    <w:rsid w:val="00B63D96"/>
    <w:rsid w:val="00BC2052"/>
    <w:rsid w:val="00BC5831"/>
    <w:rsid w:val="00CB2851"/>
    <w:rsid w:val="00D03D6C"/>
    <w:rsid w:val="00D06963"/>
    <w:rsid w:val="00D11581"/>
    <w:rsid w:val="00D41016"/>
    <w:rsid w:val="00D46FDB"/>
    <w:rsid w:val="00D64CDD"/>
    <w:rsid w:val="00DE589F"/>
    <w:rsid w:val="00E44DB5"/>
    <w:rsid w:val="00EB0E89"/>
    <w:rsid w:val="00ED7D85"/>
    <w:rsid w:val="00F04B78"/>
    <w:rsid w:val="00F86071"/>
    <w:rsid w:val="00FB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68E0"/>
  <w15:chartTrackingRefBased/>
  <w15:docId w15:val="{AF30CA16-657E-44BD-B9EF-8828FB29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Weber</dc:creator>
  <cp:keywords/>
  <dc:description/>
  <cp:lastModifiedBy>Linda Weber</cp:lastModifiedBy>
  <cp:revision>43</cp:revision>
  <dcterms:created xsi:type="dcterms:W3CDTF">2022-08-15T17:31:00Z</dcterms:created>
  <dcterms:modified xsi:type="dcterms:W3CDTF">2022-08-26T16:29:00Z</dcterms:modified>
</cp:coreProperties>
</file>