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4E" w:rsidRDefault="007451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12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B21D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aYFwIAADQEAAAOAAAAZHJzL2Uyb0RvYy54bWysU8GO2jAQvVfqP1i+QxI2y0JEWFUJ9EK7&#10;SLv9AGM7xKpjW7YhoKr/3rEhiG0vVdUcnHE88/LezPPi+dRJdOTWCa1KnI1TjLiimgm1L/G3t/Vo&#10;hpHzRDEiteIlPnOHn5cfPyx6U/CJbrVk3CIAUa7oTYlb702RJI62vCNurA1XcNho2xEPW7tPmCU9&#10;oHcymaTpNOm1ZcZqyp2Dr/XlEC8jftNw6l+axnGPZImBm4+rjesurMlyQYq9JaYV9EqD/AOLjggF&#10;P71B1cQTdLDiD6hOUKudbvyY6i7RTSMojxpATZb+pua1JYZHLdAcZ25tcv8Pln49bi0SrMQPGCnS&#10;wYg2QnE0CZ3pjSsgoVJbG7TRk3o1G02/O6R01RK155Hh29lAWRYqknclYeMM4O/6L5pBDjl4Hdt0&#10;amwXIKEB6BSncb5Ng588ovDx8WmewYgxosNZQoqh0FjnP3PdoRCUWALnCEyOG+cDEVIMKeE/Sq+F&#10;lHHYUqEe1M6yCN0ZkM52MhY7LQULiaHE2f2ukhYdSbBOfKJCOLlPs/qgWARuOWGra+yJkJcYiEgV&#10;8EAWULtGF2/8mKfz1Ww1y0f5ZLoa5Wldjz6tq3w0XWdPj/VDXVV19jNQy/KiFYxxFdgNPs3yv/PB&#10;9cZcHHZz6q0lyXv02DsgO7wj6TjXMMqLKXaanbd2mDdYMyZfr1Hw/v0e4vvLvvwFAAD//wMAUEsD&#10;BBQABgAIAAAAIQAjwY8W2QAAAAYBAAAPAAAAZHJzL2Rvd25yZXYueG1sTI9BbsJADEX3lXqHkZG6&#10;KxNYVJBmggAJVajdFHoAk5gkIuOJMgaS29dVF+3K9v/W93O2GnxrbtTHJrCD2TQBQ1yEsuHKwddx&#10;97wAEwW5xDYwORgpwip/fMgwLcOdP+l2kMpoCMcUHdQiXWptLGryGKehI1bvHHqPomNf2bLHu4b7&#10;1s6T5MV6bFgv1NjRtqbicrh6B3JJ3t43uBvX/ryXajkWfr/9cO5pMqxfwQgN8rcMP/iKDrkyncKV&#10;y2haB/qIqLrQqu5yNtfm9CvYPLP/8fNvAAAA//8DAFBLAQItABQABgAIAAAAIQC2gziS/gAAAOEB&#10;AAATAAAAAAAAAAAAAAAAAAAAAABbQ29udGVudF9UeXBlc10ueG1sUEsBAi0AFAAGAAgAAAAhADj9&#10;If/WAAAAlAEAAAsAAAAAAAAAAAAAAAAALwEAAF9yZWxzLy5yZWxzUEsBAi0AFAAGAAgAAAAhACbx&#10;ZpgXAgAANAQAAA4AAAAAAAAAAAAAAAAALgIAAGRycy9lMm9Eb2MueG1sUEsBAi0AFAAGAAgAAAAh&#10;ACPBjxb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C93D4E" w:rsidRDefault="00C93D4E"/>
    <w:p w:rsidR="00C93D4E" w:rsidRDefault="00745175">
      <w:r>
        <w:rPr>
          <w:noProof/>
        </w:rPr>
        <w:drawing>
          <wp:inline distT="0" distB="0" distL="0" distR="0">
            <wp:extent cx="3204210" cy="492760"/>
            <wp:effectExtent l="0" t="0" r="0" b="0"/>
            <wp:docPr id="1" name="Picture 1" descr="USFBLK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FBLKho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4E" w:rsidRDefault="0074517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12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FBB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slGA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w+MigxFjRAdfQooh0VjnP3PdoWCUWALnCEyOz84HIqQYQsI9Sm+E&#10;lHHYUqG+xNN5FqE7A6WznYzJTkvBQmBIcXa/q6RFRxKkE79YIXjuw6w+KBaBW07Y+mp7IuTFBiJS&#10;BTwoC6hdrYs2fizSxXq+nuejfDJbj/K0rkefNlU+mm2yx4d6WldVnf0M1LK8aAVjXAV2g06z/O90&#10;cH0xF4XdlHprSfIePfYOyA7/SDrONYzyIoqdZuetHeYN0ozB12cUtH+/B/v+sa9+AQAA//8DAFBL&#10;AwQUAAYACAAAACEAI8GPFtkAAAAGAQAADwAAAGRycy9kb3ducmV2LnhtbEyPQW7CQAxF95V6h5GR&#10;uisTWFSQZoIACVWo3RR6AJOYJCLjiTIGktvXVRftyvb/1vdzthp8a27Uxyawg9k0AUNchLLhysHX&#10;cfe8ABMFucQ2MDkYKcIqf3zIMC3DnT/pdpDKaAjHFB3UIl1qbSxq8hinoSNW7xx6j6JjX9myx7uG&#10;+9bOk+TFemxYL9TY0bam4nK4egdySd7eN7gb1/68l2o5Fn6//XDuaTKsX8EIDfK3DD/4ig65Mp3C&#10;lctoWgf6iKi60KrucjbX5vQr2Dyz//HzbwAAAP//AwBQSwECLQAUAAYACAAAACEAtoM4kv4AAADh&#10;AQAAEwAAAAAAAAAAAAAAAAAAAAAAW0NvbnRlbnRfVHlwZXNdLnhtbFBLAQItABQABgAIAAAAIQA4&#10;/SH/1gAAAJQBAAALAAAAAAAAAAAAAAAAAC8BAABfcmVscy8ucmVsc1BLAQItABQABgAIAAAAIQCS&#10;MIslGAIAADQEAAAOAAAAAAAAAAAAAAAAAC4CAABkcnMvZTJvRG9jLnhtbFBLAQItABQABgAIAAAA&#10;IQAjwY8W2QAAAAY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C93D4E" w:rsidRDefault="00C93D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DIVISION OF COMPARATIVE MEDICINE</w:t>
      </w:r>
    </w:p>
    <w:p w:rsidR="00C93D4E" w:rsidRDefault="00C93D4E">
      <w:pPr>
        <w:rPr>
          <w:rFonts w:ascii="Arial" w:hAnsi="Arial" w:cs="Arial"/>
          <w:b/>
          <w:bCs/>
        </w:rPr>
      </w:pPr>
    </w:p>
    <w:p w:rsidR="00C93D4E" w:rsidRDefault="00C93D4E">
      <w:pPr>
        <w:rPr>
          <w:rFonts w:ascii="Arial" w:hAnsi="Arial" w:cs="Arial"/>
          <w:b/>
          <w:bCs/>
        </w:rPr>
      </w:pPr>
    </w:p>
    <w:p w:rsidR="00C93D4E" w:rsidRDefault="00C93D4E">
      <w:pPr>
        <w:pStyle w:val="Heading2"/>
        <w:jc w:val="left"/>
        <w:rPr>
          <w:sz w:val="20"/>
        </w:rPr>
      </w:pPr>
      <w:r>
        <w:rPr>
          <w:sz w:val="20"/>
        </w:rPr>
        <w:t>MEMORANDUM</w:t>
      </w:r>
    </w:p>
    <w:p w:rsidR="00C93D4E" w:rsidRDefault="00C93D4E">
      <w:pPr>
        <w:rPr>
          <w:rFonts w:ascii="Arial" w:hAnsi="Arial" w:cs="Arial"/>
        </w:rPr>
      </w:pPr>
    </w:p>
    <w:p w:rsidR="00C93D4E" w:rsidRDefault="00C93D4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1609F">
        <w:rPr>
          <w:rFonts w:ascii="Arial" w:hAnsi="Arial" w:cs="Arial"/>
          <w:bCs/>
        </w:rPr>
        <w:t>Blank</w:t>
      </w:r>
    </w:p>
    <w:p w:rsidR="00C93D4E" w:rsidRDefault="00C93D4E">
      <w:pPr>
        <w:rPr>
          <w:rFonts w:ascii="Arial" w:hAnsi="Arial" w:cs="Arial"/>
        </w:rPr>
      </w:pPr>
    </w:p>
    <w:p w:rsidR="00C93D4E" w:rsidRDefault="00C93D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31F3C">
        <w:rPr>
          <w:rFonts w:ascii="Arial" w:hAnsi="Arial" w:cs="Arial"/>
        </w:rPr>
        <w:t>Blank</w:t>
      </w:r>
    </w:p>
    <w:p w:rsidR="00C93D4E" w:rsidRDefault="00C93D4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3D4E" w:rsidRPr="00CF5E80" w:rsidRDefault="00C93D4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1609F">
        <w:rPr>
          <w:rFonts w:ascii="Arial" w:hAnsi="Arial" w:cs="Arial"/>
          <w:bCs/>
        </w:rPr>
        <w:t>Blank</w:t>
      </w:r>
    </w:p>
    <w:p w:rsidR="00C93D4E" w:rsidRDefault="00C93D4E">
      <w:pPr>
        <w:rPr>
          <w:rFonts w:ascii="Arial" w:hAnsi="Arial" w:cs="Arial"/>
        </w:rPr>
      </w:pPr>
    </w:p>
    <w:p w:rsidR="00C93D4E" w:rsidRDefault="00C93D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Employee Separation </w:t>
      </w:r>
    </w:p>
    <w:p w:rsidR="00C93D4E" w:rsidRDefault="00C93D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624D" w:rsidRDefault="0044624D">
      <w:pPr>
        <w:rPr>
          <w:rFonts w:ascii="Arial" w:hAnsi="Arial" w:cs="Arial"/>
          <w:b/>
          <w:bCs/>
          <w:sz w:val="22"/>
        </w:rPr>
      </w:pPr>
    </w:p>
    <w:p w:rsidR="00E31372" w:rsidRDefault="00E31372">
      <w:pPr>
        <w:rPr>
          <w:rFonts w:ascii="Arial" w:hAnsi="Arial" w:cs="Arial"/>
          <w:b/>
          <w:bCs/>
          <w:sz w:val="22"/>
        </w:rPr>
      </w:pPr>
    </w:p>
    <w:p w:rsidR="00C331F4" w:rsidRDefault="0044624D">
      <w:pPr>
        <w:rPr>
          <w:rFonts w:ascii="Arial" w:hAnsi="Arial" w:cs="Arial"/>
          <w:bCs/>
          <w:sz w:val="22"/>
        </w:rPr>
      </w:pPr>
      <w:r w:rsidRPr="0044624D">
        <w:rPr>
          <w:rFonts w:ascii="Arial" w:hAnsi="Arial" w:cs="Arial"/>
          <w:bCs/>
          <w:sz w:val="22"/>
        </w:rPr>
        <w:t xml:space="preserve">Please complete the </w:t>
      </w:r>
      <w:r w:rsidR="00C331F4">
        <w:rPr>
          <w:rFonts w:ascii="Arial" w:hAnsi="Arial" w:cs="Arial"/>
          <w:bCs/>
          <w:sz w:val="22"/>
        </w:rPr>
        <w:t xml:space="preserve">tasks identified under </w:t>
      </w:r>
      <w:r w:rsidR="00013B71">
        <w:rPr>
          <w:rFonts w:ascii="Arial" w:hAnsi="Arial" w:cs="Arial"/>
          <w:bCs/>
          <w:sz w:val="22"/>
        </w:rPr>
        <w:t>S</w:t>
      </w:r>
      <w:r w:rsidR="00C331F4">
        <w:rPr>
          <w:rFonts w:ascii="Arial" w:hAnsi="Arial" w:cs="Arial"/>
          <w:bCs/>
          <w:sz w:val="22"/>
        </w:rPr>
        <w:t xml:space="preserve">ection 1 of the </w:t>
      </w:r>
      <w:r w:rsidRPr="0044624D">
        <w:rPr>
          <w:rFonts w:ascii="Arial" w:hAnsi="Arial" w:cs="Arial"/>
          <w:bCs/>
          <w:sz w:val="22"/>
        </w:rPr>
        <w:t xml:space="preserve">attached </w:t>
      </w:r>
      <w:r w:rsidR="00CF3642" w:rsidRPr="00CF3642">
        <w:rPr>
          <w:rFonts w:ascii="Arial" w:hAnsi="Arial" w:cs="Arial"/>
          <w:bCs/>
          <w:i/>
          <w:sz w:val="22"/>
        </w:rPr>
        <w:t>Employee Separation Checklist</w:t>
      </w:r>
      <w:r w:rsidR="00CF3642">
        <w:rPr>
          <w:rFonts w:ascii="Arial" w:hAnsi="Arial" w:cs="Arial"/>
          <w:bCs/>
          <w:sz w:val="22"/>
        </w:rPr>
        <w:t xml:space="preserve"> </w:t>
      </w:r>
      <w:r w:rsidR="00C331F4">
        <w:rPr>
          <w:rFonts w:ascii="Arial" w:hAnsi="Arial" w:cs="Arial"/>
          <w:bCs/>
          <w:sz w:val="22"/>
        </w:rPr>
        <w:t>during</w:t>
      </w:r>
      <w:r>
        <w:rPr>
          <w:rFonts w:ascii="Arial" w:hAnsi="Arial" w:cs="Arial"/>
          <w:bCs/>
          <w:sz w:val="22"/>
        </w:rPr>
        <w:t xml:space="preserve"> the </w:t>
      </w:r>
      <w:r w:rsidR="00C331F4">
        <w:rPr>
          <w:rFonts w:ascii="Arial" w:hAnsi="Arial" w:cs="Arial"/>
          <w:bCs/>
          <w:sz w:val="22"/>
        </w:rPr>
        <w:t>last</w:t>
      </w:r>
      <w:r>
        <w:rPr>
          <w:rFonts w:ascii="Arial" w:hAnsi="Arial" w:cs="Arial"/>
          <w:bCs/>
          <w:sz w:val="22"/>
        </w:rPr>
        <w:t xml:space="preserve"> 2 weeks </w:t>
      </w:r>
      <w:r w:rsidR="00C331F4">
        <w:rPr>
          <w:rFonts w:ascii="Arial" w:hAnsi="Arial" w:cs="Arial"/>
          <w:bCs/>
          <w:sz w:val="22"/>
        </w:rPr>
        <w:t>of your employment with Comparative Medicine. Bring this</w:t>
      </w:r>
      <w:r w:rsidR="00013B71">
        <w:rPr>
          <w:rFonts w:ascii="Arial" w:hAnsi="Arial" w:cs="Arial"/>
          <w:bCs/>
          <w:sz w:val="22"/>
        </w:rPr>
        <w:t xml:space="preserve"> </w:t>
      </w:r>
      <w:r w:rsidR="00C331F4">
        <w:rPr>
          <w:rFonts w:ascii="Arial" w:hAnsi="Arial" w:cs="Arial"/>
          <w:bCs/>
          <w:sz w:val="22"/>
        </w:rPr>
        <w:t>form with you to your exit interview.</w:t>
      </w:r>
    </w:p>
    <w:p w:rsidR="00C331F4" w:rsidRDefault="00C331F4">
      <w:pPr>
        <w:rPr>
          <w:rFonts w:ascii="Arial" w:hAnsi="Arial" w:cs="Arial"/>
          <w:bCs/>
          <w:sz w:val="22"/>
        </w:rPr>
      </w:pPr>
    </w:p>
    <w:p w:rsidR="00C331F4" w:rsidRDefault="00C331F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</w:t>
      </w:r>
      <w:r w:rsidR="0044624D">
        <w:rPr>
          <w:rFonts w:ascii="Arial" w:hAnsi="Arial" w:cs="Arial"/>
          <w:bCs/>
          <w:sz w:val="22"/>
        </w:rPr>
        <w:t>chedule an exit interview with the Assistant Director</w:t>
      </w:r>
      <w:r>
        <w:rPr>
          <w:rFonts w:ascii="Arial" w:hAnsi="Arial" w:cs="Arial"/>
          <w:bCs/>
          <w:sz w:val="22"/>
        </w:rPr>
        <w:t xml:space="preserve"> or a Designee (e.g., the Facility Manager) to take place on your last day of work near the end of the work shift</w:t>
      </w:r>
      <w:r w:rsidR="0044624D">
        <w:rPr>
          <w:rFonts w:ascii="Arial" w:hAnsi="Arial" w:cs="Arial"/>
          <w:bCs/>
          <w:sz w:val="22"/>
        </w:rPr>
        <w:t xml:space="preserve">. </w:t>
      </w:r>
      <w:r>
        <w:rPr>
          <w:rFonts w:ascii="Arial" w:hAnsi="Arial" w:cs="Arial"/>
          <w:bCs/>
          <w:sz w:val="22"/>
        </w:rPr>
        <w:t xml:space="preserve"> At that time, be prepared to turn in all keys, access cards, and ID cards.  Failure to do so may delay your last paycheck.  You may keep your USF ID card.</w:t>
      </w:r>
    </w:p>
    <w:p w:rsidR="00C331F4" w:rsidRDefault="00C331F4">
      <w:pPr>
        <w:rPr>
          <w:rFonts w:ascii="Arial" w:hAnsi="Arial" w:cs="Arial"/>
          <w:bCs/>
          <w:sz w:val="22"/>
        </w:rPr>
      </w:pPr>
    </w:p>
    <w:p w:rsidR="00766005" w:rsidRDefault="0044624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Please be advised that if you have any </w:t>
      </w:r>
      <w:r w:rsidR="00E31372">
        <w:rPr>
          <w:rFonts w:ascii="Arial" w:hAnsi="Arial" w:cs="Arial"/>
          <w:bCs/>
          <w:sz w:val="22"/>
        </w:rPr>
        <w:t xml:space="preserve">new, or previously undeclared, </w:t>
      </w:r>
      <w:r w:rsidR="00C331F4">
        <w:rPr>
          <w:rFonts w:ascii="Arial" w:hAnsi="Arial" w:cs="Arial"/>
          <w:bCs/>
          <w:sz w:val="22"/>
        </w:rPr>
        <w:t xml:space="preserve">occupational </w:t>
      </w:r>
      <w:r>
        <w:rPr>
          <w:rFonts w:ascii="Arial" w:hAnsi="Arial" w:cs="Arial"/>
          <w:bCs/>
          <w:sz w:val="22"/>
        </w:rPr>
        <w:t>health</w:t>
      </w:r>
      <w:r w:rsidR="00C331F4">
        <w:rPr>
          <w:rFonts w:ascii="Arial" w:hAnsi="Arial" w:cs="Arial"/>
          <w:bCs/>
          <w:sz w:val="22"/>
        </w:rPr>
        <w:t>-related</w:t>
      </w:r>
      <w:r>
        <w:rPr>
          <w:rFonts w:ascii="Arial" w:hAnsi="Arial" w:cs="Arial"/>
          <w:bCs/>
          <w:sz w:val="22"/>
        </w:rPr>
        <w:t xml:space="preserve"> concerns you wish to discuss</w:t>
      </w:r>
      <w:r w:rsidR="00631F3C">
        <w:rPr>
          <w:rFonts w:ascii="Arial" w:hAnsi="Arial" w:cs="Arial"/>
          <w:bCs/>
          <w:sz w:val="22"/>
        </w:rPr>
        <w:t xml:space="preserve"> USF Medical Health Administration can be reached at (813) 974-3163.</w:t>
      </w:r>
    </w:p>
    <w:p w:rsidR="00E8391C" w:rsidRDefault="00E8391C">
      <w:pPr>
        <w:rPr>
          <w:rFonts w:ascii="Arial" w:hAnsi="Arial" w:cs="Arial"/>
          <w:bCs/>
          <w:sz w:val="22"/>
        </w:rPr>
      </w:pPr>
    </w:p>
    <w:p w:rsidR="00766005" w:rsidRDefault="0076600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An USF HR exit </w:t>
      </w:r>
      <w:r w:rsidR="00A179BD">
        <w:rPr>
          <w:rFonts w:ascii="Arial" w:hAnsi="Arial" w:cs="Arial"/>
          <w:bCs/>
          <w:sz w:val="22"/>
        </w:rPr>
        <w:t>questionnaire</w:t>
      </w:r>
      <w:r w:rsidR="00ED7B7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is at</w:t>
      </w:r>
      <w:r w:rsidR="00013B71">
        <w:rPr>
          <w:rFonts w:ascii="Arial" w:hAnsi="Arial" w:cs="Arial"/>
          <w:bCs/>
          <w:sz w:val="22"/>
        </w:rPr>
        <w:t xml:space="preserve">tached.  If you wish, </w:t>
      </w:r>
      <w:r w:rsidR="00A179BD">
        <w:rPr>
          <w:rFonts w:ascii="Arial" w:hAnsi="Arial" w:cs="Arial"/>
          <w:bCs/>
          <w:sz w:val="22"/>
        </w:rPr>
        <w:t xml:space="preserve">you may </w:t>
      </w:r>
      <w:r w:rsidR="00013B71">
        <w:rPr>
          <w:rFonts w:ascii="Arial" w:hAnsi="Arial" w:cs="Arial"/>
          <w:bCs/>
          <w:sz w:val="22"/>
        </w:rPr>
        <w:t>complete</w:t>
      </w:r>
      <w:r w:rsidR="00A179BD">
        <w:rPr>
          <w:rFonts w:ascii="Arial" w:hAnsi="Arial" w:cs="Arial"/>
          <w:bCs/>
          <w:sz w:val="22"/>
        </w:rPr>
        <w:t xml:space="preserve"> the questionnaire</w:t>
      </w:r>
      <w:r>
        <w:rPr>
          <w:rFonts w:ascii="Arial" w:hAnsi="Arial" w:cs="Arial"/>
          <w:bCs/>
          <w:sz w:val="22"/>
        </w:rPr>
        <w:t xml:space="preserve"> and bring </w:t>
      </w:r>
      <w:r w:rsidR="00A179BD">
        <w:rPr>
          <w:rFonts w:ascii="Arial" w:hAnsi="Arial" w:cs="Arial"/>
          <w:bCs/>
          <w:sz w:val="22"/>
        </w:rPr>
        <w:t xml:space="preserve">it </w:t>
      </w:r>
      <w:r>
        <w:rPr>
          <w:rFonts w:ascii="Arial" w:hAnsi="Arial" w:cs="Arial"/>
          <w:bCs/>
          <w:sz w:val="22"/>
        </w:rPr>
        <w:t>with you to your exit interview.</w:t>
      </w:r>
    </w:p>
    <w:p w:rsidR="00766005" w:rsidRDefault="00766005">
      <w:pPr>
        <w:rPr>
          <w:rFonts w:ascii="Arial" w:hAnsi="Arial" w:cs="Arial"/>
          <w:bCs/>
          <w:sz w:val="22"/>
        </w:rPr>
      </w:pPr>
    </w:p>
    <w:p w:rsidR="00766005" w:rsidRDefault="0076600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If you are a Staff employee and have questions about continuation of benefits</w:t>
      </w:r>
      <w:r w:rsidR="00A179BD">
        <w:rPr>
          <w:rFonts w:ascii="Arial" w:hAnsi="Arial" w:cs="Arial"/>
          <w:bCs/>
          <w:sz w:val="22"/>
        </w:rPr>
        <w:t xml:space="preserve"> and/or retirement funds</w:t>
      </w:r>
      <w:r>
        <w:rPr>
          <w:rFonts w:ascii="Arial" w:hAnsi="Arial" w:cs="Arial"/>
          <w:bCs/>
          <w:sz w:val="22"/>
        </w:rPr>
        <w:t>, contact HR at 974-</w:t>
      </w:r>
      <w:r w:rsidR="003922B4">
        <w:rPr>
          <w:rFonts w:ascii="Arial" w:hAnsi="Arial" w:cs="Arial"/>
          <w:bCs/>
          <w:sz w:val="22"/>
        </w:rPr>
        <w:t>2970.</w:t>
      </w:r>
    </w:p>
    <w:p w:rsidR="00766005" w:rsidRDefault="00766005">
      <w:pPr>
        <w:rPr>
          <w:rFonts w:ascii="Arial" w:hAnsi="Arial" w:cs="Arial"/>
          <w:bCs/>
          <w:sz w:val="22"/>
        </w:rPr>
      </w:pPr>
    </w:p>
    <w:p w:rsidR="00766005" w:rsidRDefault="0076600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If you are a Temporary employee and have questions about the Temporary Employee Retirement Plan (TERP), a F</w:t>
      </w:r>
      <w:r w:rsidR="000518FA">
        <w:rPr>
          <w:rFonts w:ascii="Arial" w:hAnsi="Arial" w:cs="Arial"/>
          <w:bCs/>
          <w:sz w:val="22"/>
        </w:rPr>
        <w:t xml:space="preserve">requently </w:t>
      </w:r>
      <w:r>
        <w:rPr>
          <w:rFonts w:ascii="Arial" w:hAnsi="Arial" w:cs="Arial"/>
          <w:bCs/>
          <w:sz w:val="22"/>
        </w:rPr>
        <w:t>A</w:t>
      </w:r>
      <w:r w:rsidR="000518FA">
        <w:rPr>
          <w:rFonts w:ascii="Arial" w:hAnsi="Arial" w:cs="Arial"/>
          <w:bCs/>
          <w:sz w:val="22"/>
        </w:rPr>
        <w:t xml:space="preserve">sked </w:t>
      </w:r>
      <w:r>
        <w:rPr>
          <w:rFonts w:ascii="Arial" w:hAnsi="Arial" w:cs="Arial"/>
          <w:bCs/>
          <w:sz w:val="22"/>
        </w:rPr>
        <w:t>Q</w:t>
      </w:r>
      <w:r w:rsidR="000518FA">
        <w:rPr>
          <w:rFonts w:ascii="Arial" w:hAnsi="Arial" w:cs="Arial"/>
          <w:bCs/>
          <w:sz w:val="22"/>
        </w:rPr>
        <w:t>uestion</w:t>
      </w:r>
      <w:r>
        <w:rPr>
          <w:rFonts w:ascii="Arial" w:hAnsi="Arial" w:cs="Arial"/>
          <w:bCs/>
          <w:sz w:val="22"/>
        </w:rPr>
        <w:t xml:space="preserve">s document with information related to TERP can be provided. </w:t>
      </w:r>
    </w:p>
    <w:p w:rsidR="00766005" w:rsidRPr="0044624D" w:rsidRDefault="00766005">
      <w:pPr>
        <w:rPr>
          <w:rFonts w:ascii="Arial" w:hAnsi="Arial"/>
          <w:sz w:val="16"/>
        </w:rPr>
      </w:pPr>
    </w:p>
    <w:sectPr w:rsidR="00766005" w:rsidRPr="0044624D">
      <w:footerReference w:type="default" r:id="rId8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E9" w:rsidRDefault="008016E9">
      <w:r>
        <w:separator/>
      </w:r>
    </w:p>
  </w:endnote>
  <w:endnote w:type="continuationSeparator" w:id="0">
    <w:p w:rsidR="008016E9" w:rsidRDefault="0080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71" w:rsidRDefault="00013B7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CMDC #150.</w:t>
    </w:r>
    <w:r w:rsidR="003922B4">
      <w:rPr>
        <w:rFonts w:ascii="Arial" w:hAnsi="Arial" w:cs="Arial"/>
        <w:sz w:val="16"/>
        <w:szCs w:val="16"/>
      </w:rPr>
      <w:t>5</w:t>
    </w:r>
  </w:p>
  <w:p w:rsidR="00013B71" w:rsidRDefault="00013B7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 </w:t>
    </w:r>
    <w:r w:rsidR="003922B4">
      <w:rPr>
        <w:rFonts w:ascii="Arial" w:hAnsi="Arial" w:cs="Arial"/>
        <w:sz w:val="16"/>
        <w:szCs w:val="16"/>
      </w:rPr>
      <w:t>8/17</w:t>
    </w:r>
  </w:p>
  <w:p w:rsidR="00013B71" w:rsidRPr="006B3D01" w:rsidRDefault="00013B71">
    <w:pPr>
      <w:pStyle w:val="Footer"/>
      <w:rPr>
        <w:rFonts w:ascii="Arial" w:hAnsi="Arial" w:cs="Arial"/>
        <w:sz w:val="16"/>
        <w:szCs w:val="16"/>
      </w:rPr>
    </w:pPr>
    <w:r w:rsidRPr="006B3D01">
      <w:rPr>
        <w:rFonts w:ascii="Arial" w:hAnsi="Arial" w:cs="Arial"/>
        <w:sz w:val="16"/>
        <w:szCs w:val="16"/>
      </w:rPr>
      <w:t xml:space="preserve">Page </w:t>
    </w:r>
    <w:r w:rsidRPr="006B3D01">
      <w:rPr>
        <w:rFonts w:ascii="Arial" w:hAnsi="Arial" w:cs="Arial"/>
        <w:sz w:val="16"/>
        <w:szCs w:val="16"/>
      </w:rPr>
      <w:fldChar w:fldCharType="begin"/>
    </w:r>
    <w:r w:rsidRPr="006B3D01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745175">
      <w:rPr>
        <w:rFonts w:ascii="Arial" w:hAnsi="Arial" w:cs="Arial"/>
        <w:noProof/>
        <w:sz w:val="16"/>
        <w:szCs w:val="16"/>
      </w:rPr>
      <w:t>1</w:t>
    </w:r>
    <w:r w:rsidRPr="006B3D01">
      <w:rPr>
        <w:rFonts w:ascii="Arial" w:hAnsi="Arial" w:cs="Arial"/>
        <w:sz w:val="16"/>
        <w:szCs w:val="16"/>
      </w:rPr>
      <w:fldChar w:fldCharType="end"/>
    </w:r>
    <w:r w:rsidRPr="006B3D01">
      <w:rPr>
        <w:rFonts w:ascii="Arial" w:hAnsi="Arial" w:cs="Arial"/>
        <w:sz w:val="16"/>
        <w:szCs w:val="16"/>
      </w:rPr>
      <w:t xml:space="preserve"> of </w:t>
    </w:r>
    <w:r w:rsidRPr="006B3D01">
      <w:rPr>
        <w:rFonts w:ascii="Arial" w:hAnsi="Arial" w:cs="Arial"/>
        <w:sz w:val="16"/>
        <w:szCs w:val="16"/>
      </w:rPr>
      <w:fldChar w:fldCharType="begin"/>
    </w:r>
    <w:r w:rsidRPr="006B3D01"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745175">
      <w:rPr>
        <w:rFonts w:ascii="Arial" w:hAnsi="Arial" w:cs="Arial"/>
        <w:noProof/>
        <w:sz w:val="16"/>
        <w:szCs w:val="16"/>
      </w:rPr>
      <w:t>1</w:t>
    </w:r>
    <w:r w:rsidRPr="006B3D0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E9" w:rsidRDefault="008016E9">
      <w:r>
        <w:separator/>
      </w:r>
    </w:p>
  </w:footnote>
  <w:footnote w:type="continuationSeparator" w:id="0">
    <w:p w:rsidR="008016E9" w:rsidRDefault="0080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5077"/>
    <w:multiLevelType w:val="singleLevel"/>
    <w:tmpl w:val="3724C57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18227FD1"/>
    <w:multiLevelType w:val="singleLevel"/>
    <w:tmpl w:val="86EA54A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52CD3C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1E"/>
    <w:rsid w:val="00013B71"/>
    <w:rsid w:val="000518FA"/>
    <w:rsid w:val="0006733A"/>
    <w:rsid w:val="000D322D"/>
    <w:rsid w:val="000E0FD8"/>
    <w:rsid w:val="000E7EE5"/>
    <w:rsid w:val="00130C53"/>
    <w:rsid w:val="00151C83"/>
    <w:rsid w:val="001911DC"/>
    <w:rsid w:val="001F3B71"/>
    <w:rsid w:val="002B109E"/>
    <w:rsid w:val="002C426A"/>
    <w:rsid w:val="00331446"/>
    <w:rsid w:val="00341686"/>
    <w:rsid w:val="003715FB"/>
    <w:rsid w:val="003922B4"/>
    <w:rsid w:val="003E1147"/>
    <w:rsid w:val="0041609F"/>
    <w:rsid w:val="0044624D"/>
    <w:rsid w:val="00475B90"/>
    <w:rsid w:val="004D0758"/>
    <w:rsid w:val="00501649"/>
    <w:rsid w:val="005049F6"/>
    <w:rsid w:val="00557A0F"/>
    <w:rsid w:val="00560C34"/>
    <w:rsid w:val="00597CEB"/>
    <w:rsid w:val="005B017C"/>
    <w:rsid w:val="00631F3C"/>
    <w:rsid w:val="00665342"/>
    <w:rsid w:val="006B3D01"/>
    <w:rsid w:val="00722CD4"/>
    <w:rsid w:val="00745175"/>
    <w:rsid w:val="00766005"/>
    <w:rsid w:val="0079112E"/>
    <w:rsid w:val="007E1470"/>
    <w:rsid w:val="008016E9"/>
    <w:rsid w:val="00810DA9"/>
    <w:rsid w:val="00884D95"/>
    <w:rsid w:val="008906ED"/>
    <w:rsid w:val="008A2B73"/>
    <w:rsid w:val="00926E24"/>
    <w:rsid w:val="00973BF6"/>
    <w:rsid w:val="009C031B"/>
    <w:rsid w:val="00A179BD"/>
    <w:rsid w:val="00A9601F"/>
    <w:rsid w:val="00A9779B"/>
    <w:rsid w:val="00B10769"/>
    <w:rsid w:val="00B203B1"/>
    <w:rsid w:val="00B31757"/>
    <w:rsid w:val="00BE6EF9"/>
    <w:rsid w:val="00BF6B7D"/>
    <w:rsid w:val="00C331F4"/>
    <w:rsid w:val="00C35F0D"/>
    <w:rsid w:val="00C912E9"/>
    <w:rsid w:val="00C91FE7"/>
    <w:rsid w:val="00C93D4E"/>
    <w:rsid w:val="00CD7036"/>
    <w:rsid w:val="00CF3642"/>
    <w:rsid w:val="00CF419F"/>
    <w:rsid w:val="00CF5E80"/>
    <w:rsid w:val="00D033B7"/>
    <w:rsid w:val="00D1677B"/>
    <w:rsid w:val="00D367A0"/>
    <w:rsid w:val="00D93F03"/>
    <w:rsid w:val="00DB6D61"/>
    <w:rsid w:val="00E31372"/>
    <w:rsid w:val="00E74357"/>
    <w:rsid w:val="00E8391C"/>
    <w:rsid w:val="00E907DE"/>
    <w:rsid w:val="00E95B12"/>
    <w:rsid w:val="00ED6F1E"/>
    <w:rsid w:val="00ED7B7A"/>
    <w:rsid w:val="00EF42DD"/>
    <w:rsid w:val="00F20D30"/>
    <w:rsid w:val="00F25E69"/>
    <w:rsid w:val="00F3090E"/>
    <w:rsid w:val="00F4002D"/>
    <w:rsid w:val="00F515CB"/>
    <w:rsid w:val="00F93D6D"/>
    <w:rsid w:val="00FE2D02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AD899A-E3E4-4DEE-970F-997A47EC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01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B3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3D0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H. Lee Moffitt Cancer Center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L Graham</dc:creator>
  <cp:keywords/>
  <cp:lastModifiedBy>Cloer, Sherri</cp:lastModifiedBy>
  <cp:revision>2</cp:revision>
  <cp:lastPrinted>2013-09-20T15:18:00Z</cp:lastPrinted>
  <dcterms:created xsi:type="dcterms:W3CDTF">2018-02-23T17:26:00Z</dcterms:created>
  <dcterms:modified xsi:type="dcterms:W3CDTF">2018-02-23T17:26:00Z</dcterms:modified>
</cp:coreProperties>
</file>